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A8" w:rsidRDefault="000B62A8" w:rsidP="000B62A8">
      <w:pPr>
        <w:jc w:val="center"/>
      </w:pPr>
      <w:r>
        <w:rPr>
          <w:noProof/>
          <w:lang w:val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A8" w:rsidRDefault="000B62A8" w:rsidP="000B62A8">
      <w:pPr>
        <w:pStyle w:val="a5"/>
        <w:spacing w:before="240"/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>КАБІНЕТ МІНІСТРІВ УКРАЇНИ</w:t>
      </w:r>
    </w:p>
    <w:p w:rsidR="000B62A8" w:rsidRDefault="000B62A8" w:rsidP="000B62A8">
      <w:pPr>
        <w:pStyle w:val="a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ПОСТАНОВА</w:t>
      </w:r>
    </w:p>
    <w:p w:rsidR="000B62A8" w:rsidRDefault="000B62A8" w:rsidP="000B62A8">
      <w:pPr>
        <w:pStyle w:val="a7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від 20 серпня 2014 р. </w:t>
      </w:r>
      <w:r>
        <w:rPr>
          <w:rFonts w:ascii="Verdana" w:hAnsi="Verdana"/>
          <w:sz w:val="16"/>
          <w:szCs w:val="16"/>
          <w:lang w:val="ru-RU"/>
        </w:rPr>
        <w:t>№ 413</w:t>
      </w:r>
    </w:p>
    <w:p w:rsidR="000B62A8" w:rsidRDefault="000B62A8" w:rsidP="000B62A8">
      <w:pPr>
        <w:pStyle w:val="a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Київ</w:t>
      </w:r>
    </w:p>
    <w:p w:rsidR="000B62A8" w:rsidRDefault="000B62A8" w:rsidP="000B62A8">
      <w:pPr>
        <w:pStyle w:val="a8"/>
        <w:spacing w:before="480"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Про затвердження Порядку надання статусу учасника </w:t>
      </w:r>
      <w:r>
        <w:rPr>
          <w:rFonts w:ascii="Verdana" w:hAnsi="Verdana"/>
          <w:sz w:val="16"/>
          <w:szCs w:val="16"/>
        </w:rPr>
        <w:br/>
        <w:t xml:space="preserve">бойових дій особам, які захищали незалежність, </w:t>
      </w:r>
      <w:r>
        <w:rPr>
          <w:rFonts w:ascii="Verdana" w:hAnsi="Verdana"/>
          <w:sz w:val="16"/>
          <w:szCs w:val="16"/>
        </w:rPr>
        <w:br/>
        <w:t>суверенітет та територіальну цілісність України і</w:t>
      </w:r>
      <w:r>
        <w:rPr>
          <w:rFonts w:ascii="Verdana" w:hAnsi="Verdana"/>
          <w:sz w:val="16"/>
          <w:szCs w:val="16"/>
        </w:rPr>
        <w:br/>
        <w:t xml:space="preserve">брали безпосередню участь в антитерористичній </w:t>
      </w:r>
      <w:r>
        <w:rPr>
          <w:rFonts w:ascii="Verdana" w:hAnsi="Verdana"/>
          <w:sz w:val="16"/>
          <w:szCs w:val="16"/>
        </w:rPr>
        <w:br/>
        <w:t>операції, забезпеченні її проведення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bookmarkStart w:id="0" w:name="n4"/>
      <w:bookmarkEnd w:id="0"/>
      <w:r>
        <w:rPr>
          <w:rFonts w:ascii="Verdana" w:hAnsi="Verdana"/>
          <w:sz w:val="16"/>
          <w:szCs w:val="16"/>
        </w:rPr>
        <w:t xml:space="preserve">Відповідно до пункту 19 частини першої статті 6 Закону України “Про статус ветеранів війни, гарантії їх соціального захисту” Кабінет Міністрів України </w:t>
      </w:r>
      <w:r>
        <w:rPr>
          <w:rFonts w:ascii="Verdana" w:hAnsi="Verdana"/>
          <w:b/>
          <w:sz w:val="16"/>
          <w:szCs w:val="16"/>
        </w:rPr>
        <w:t>постановляє</w:t>
      </w:r>
      <w:r>
        <w:rPr>
          <w:rFonts w:ascii="Verdana" w:hAnsi="Verdana"/>
          <w:sz w:val="16"/>
          <w:szCs w:val="16"/>
        </w:rPr>
        <w:t>: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Затвердити Порядок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що додається.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Міністерству соціальної політики, Державній службі у справах ветеранів війни та учасників антитерористичної операції разом із заінтересованими органами виконавчої влади створити єдиний реєстр учасників антитерористичної операції.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Міністерствам, іншим центральним органам виконавчої влади привести власні нормативно-правові акти у відповідність із цією постановою та рекомендувати іншим державним органам привести власні нормативно-правові акти у відповідність із цією постановою.</w:t>
      </w:r>
    </w:p>
    <w:p w:rsidR="000B62A8" w:rsidRDefault="000B62A8" w:rsidP="000B62A8">
      <w:pPr>
        <w:pStyle w:val="a4"/>
        <w:tabs>
          <w:tab w:val="left" w:pos="6521"/>
        </w:tabs>
        <w:spacing w:before="1200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position w:val="0"/>
          <w:sz w:val="16"/>
          <w:szCs w:val="16"/>
        </w:rPr>
        <w:t>Прем’єр-міністр України                                                     А. ЯЦЕНЮК</w:t>
      </w:r>
    </w:p>
    <w:p w:rsidR="000B62A8" w:rsidRDefault="000B62A8" w:rsidP="000B62A8">
      <w:pPr>
        <w:pStyle w:val="a9"/>
        <w:ind w:left="3402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9"/>
        <w:ind w:left="3402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9"/>
        <w:ind w:left="3402"/>
        <w:rPr>
          <w:rFonts w:ascii="Verdana" w:hAnsi="Verdana"/>
          <w:sz w:val="16"/>
          <w:szCs w:val="16"/>
          <w:lang w:val="ru-RU"/>
        </w:rPr>
      </w:pPr>
    </w:p>
    <w:p w:rsidR="000B62A8" w:rsidRDefault="000B62A8" w:rsidP="000B62A8">
      <w:pPr>
        <w:pStyle w:val="a9"/>
        <w:ind w:left="340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ЗАТВЕРДЖЕНО</w:t>
      </w:r>
      <w:r>
        <w:rPr>
          <w:rFonts w:ascii="Verdana" w:hAnsi="Verdana"/>
          <w:sz w:val="16"/>
          <w:szCs w:val="16"/>
        </w:rPr>
        <w:br/>
        <w:t>постановою Кабінету Міністрів України</w:t>
      </w:r>
      <w:r>
        <w:rPr>
          <w:rFonts w:ascii="Verdana" w:hAnsi="Verdana"/>
          <w:sz w:val="16"/>
          <w:szCs w:val="16"/>
        </w:rPr>
        <w:br/>
        <w:t>від 20 серпня 2014 р. № 413</w:t>
      </w:r>
    </w:p>
    <w:p w:rsidR="000B62A8" w:rsidRPr="000B62A8" w:rsidRDefault="000B62A8" w:rsidP="000B62A8">
      <w:pPr>
        <w:pStyle w:val="a8"/>
        <w:rPr>
          <w:rFonts w:ascii="Verdana" w:hAnsi="Verdana"/>
          <w:sz w:val="16"/>
          <w:szCs w:val="16"/>
        </w:rPr>
      </w:pPr>
      <w:bookmarkStart w:id="1" w:name="_GoBack"/>
      <w:bookmarkEnd w:id="1"/>
      <w:r w:rsidRPr="000B62A8">
        <w:rPr>
          <w:rFonts w:ascii="Verdana" w:hAnsi="Verdana"/>
          <w:sz w:val="16"/>
          <w:szCs w:val="16"/>
        </w:rPr>
        <w:t>ПОРЯДОК</w:t>
      </w:r>
      <w:r w:rsidRPr="000B62A8">
        <w:rPr>
          <w:rFonts w:ascii="Verdana" w:hAnsi="Verdana"/>
          <w:sz w:val="16"/>
          <w:szCs w:val="16"/>
        </w:rPr>
        <w:br/>
        <w:t xml:space="preserve">надання статусу учасника бойових дій особам, які захищали </w:t>
      </w:r>
      <w:r w:rsidRPr="000B62A8">
        <w:rPr>
          <w:rFonts w:ascii="Verdana" w:hAnsi="Verdana"/>
          <w:sz w:val="16"/>
          <w:szCs w:val="16"/>
        </w:rPr>
        <w:br/>
        <w:t>незалежність, суверенітет та територіальну цілісність України</w:t>
      </w:r>
      <w:r w:rsidRPr="000B62A8">
        <w:rPr>
          <w:rFonts w:ascii="Verdana" w:hAnsi="Verdana"/>
          <w:sz w:val="16"/>
          <w:szCs w:val="16"/>
        </w:rPr>
        <w:br/>
        <w:t xml:space="preserve">і брали безпосередню участь в антитерористичній операції, </w:t>
      </w:r>
      <w:r w:rsidRPr="000B62A8">
        <w:rPr>
          <w:rFonts w:ascii="Verdana" w:hAnsi="Verdana"/>
          <w:sz w:val="16"/>
          <w:szCs w:val="16"/>
        </w:rPr>
        <w:br/>
        <w:t>забезпеченні її проведення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bookmarkStart w:id="2" w:name="o30"/>
      <w:bookmarkEnd w:id="2"/>
      <w:r>
        <w:rPr>
          <w:rFonts w:ascii="Verdana" w:hAnsi="Verdana"/>
          <w:sz w:val="16"/>
          <w:szCs w:val="16"/>
        </w:rPr>
        <w:t>1. Цей Порядок визначає процедуру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та категорії таких осіб.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Статус учасника бойових дій надається: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військовослужбовцям (резервістам, військовозобов’язаним) та працівникам Збройних Сил, Національної гвардії, СБУ, Служби зовнішньої розвідки, </w:t>
      </w:r>
      <w:proofErr w:type="spellStart"/>
      <w:r>
        <w:rPr>
          <w:rFonts w:ascii="Verdana" w:hAnsi="Verdana"/>
          <w:sz w:val="16"/>
          <w:szCs w:val="16"/>
        </w:rPr>
        <w:t>Держприкордонслужби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Держспецтрансслужби</w:t>
      </w:r>
      <w:proofErr w:type="spellEnd"/>
      <w:r>
        <w:rPr>
          <w:rFonts w:ascii="Verdana" w:hAnsi="Verdana"/>
          <w:sz w:val="16"/>
          <w:szCs w:val="16"/>
        </w:rPr>
        <w:t xml:space="preserve">, особам рядового і начальницького складу, військовослужбовцям, працівникам МВС, Управління державної охорони, </w:t>
      </w:r>
      <w:proofErr w:type="spellStart"/>
      <w:r>
        <w:rPr>
          <w:rFonts w:ascii="Verdana" w:hAnsi="Verdana"/>
          <w:sz w:val="16"/>
          <w:szCs w:val="16"/>
        </w:rPr>
        <w:t>Держспецзв’язку</w:t>
      </w:r>
      <w:proofErr w:type="spellEnd"/>
      <w:r>
        <w:rPr>
          <w:rFonts w:ascii="Verdana" w:hAnsi="Verdana"/>
          <w:sz w:val="16"/>
          <w:szCs w:val="16"/>
        </w:rPr>
        <w:t xml:space="preserve">, ДСНС, </w:t>
      </w:r>
      <w:proofErr w:type="spellStart"/>
      <w:r>
        <w:rPr>
          <w:rFonts w:ascii="Verdana" w:hAnsi="Verdana"/>
          <w:sz w:val="16"/>
          <w:szCs w:val="16"/>
        </w:rPr>
        <w:t>ДПтС</w:t>
      </w:r>
      <w:proofErr w:type="spellEnd"/>
      <w:r>
        <w:rPr>
          <w:rFonts w:ascii="Verdana" w:hAnsi="Verdana"/>
          <w:sz w:val="16"/>
          <w:szCs w:val="16"/>
        </w:rPr>
        <w:t>, військових формувань,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проведення антитерористичної операції;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lastRenderedPageBreak/>
        <w:t>працівникам підприємств, установ та організацій, які залучалися і брали безпосередню участь в антитерористичній операції в районах її проведення.</w:t>
      </w:r>
    </w:p>
    <w:p w:rsidR="000B62A8" w:rsidRDefault="000B62A8" w:rsidP="000B62A8">
      <w:pPr>
        <w:pStyle w:val="a3"/>
        <w:rPr>
          <w:rFonts w:ascii="Verdana" w:hAnsi="Verdana"/>
          <w:color w:val="000000"/>
          <w:sz w:val="16"/>
          <w:szCs w:val="16"/>
          <w:lang w:val="ru-RU"/>
        </w:rPr>
      </w:pPr>
      <w:r>
        <w:rPr>
          <w:rFonts w:ascii="Verdana" w:hAnsi="Verdana"/>
          <w:color w:val="000000"/>
          <w:sz w:val="16"/>
          <w:szCs w:val="16"/>
        </w:rPr>
        <w:t>3. Райони проведення антитерористичної операції та терміни її проведення визначаються Антитерористичним центром при СБУ.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Підставою для надання особам статусу учасника бойових дій є:</w:t>
      </w:r>
    </w:p>
    <w:p w:rsidR="000B62A8" w:rsidRDefault="000B62A8" w:rsidP="000B62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для осіб, зазначених в абзаці другому пункту 2 цього Порядку, — </w:t>
      </w:r>
      <w:r>
        <w:rPr>
          <w:rFonts w:ascii="Verdana" w:hAnsi="Verdana"/>
          <w:color w:val="000000"/>
          <w:sz w:val="16"/>
          <w:szCs w:val="16"/>
        </w:rPr>
        <w:t>документи про безпосереднє залучення до виконання завдань антитерористичної операції в районах її проведення, направлення</w:t>
      </w:r>
      <w:r>
        <w:rPr>
          <w:rFonts w:ascii="Verdana" w:hAnsi="Verdana"/>
          <w:sz w:val="16"/>
          <w:szCs w:val="16"/>
        </w:rPr>
        <w:t xml:space="preserve"> (прибуття) у відрядження до районів проведення антитерористичної операції, їх перебування в таких районах з метою виконання завдань із захисту незалежності, суверенітету та територіальної цілісності України шляхом безпосередньої участі в антитерористичній операції, забезпеченні її проведення (витяги з наказів, директив, розпоряджень, посвідчень про відрядження, журналів бойових дій, бойових донесень, дислокацій, книг нарядів, графіків несення служби, звітів, зведень, донесень, матеріалів спеціальних (службових) розслідувань за фактами отримання поранень)</w:t>
      </w:r>
      <w:r>
        <w:rPr>
          <w:rFonts w:ascii="Verdana" w:hAnsi="Verdana"/>
          <w:color w:val="000000"/>
          <w:sz w:val="16"/>
          <w:szCs w:val="16"/>
        </w:rPr>
        <w:t>;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для осіб, зазначених в абзаці третьому пункту 2 цього Порядку, — </w:t>
      </w:r>
      <w:r>
        <w:rPr>
          <w:rFonts w:ascii="Verdana" w:hAnsi="Verdana"/>
          <w:color w:val="000000"/>
          <w:sz w:val="16"/>
          <w:szCs w:val="16"/>
        </w:rPr>
        <w:t>документи про безпосереднє залучення до виконання завдань антитерористичної операції в районах її проведення або направлення</w:t>
      </w:r>
      <w:r>
        <w:rPr>
          <w:rFonts w:ascii="Verdana" w:hAnsi="Verdana"/>
          <w:sz w:val="16"/>
          <w:szCs w:val="16"/>
        </w:rPr>
        <w:t xml:space="preserve"> (прибуття) у відрядження для безпосередньої участі в антитерористичній операції в районах її проведення (витяги з наказів, розпоряджень, посвідчень про відрядження, книг нарядів, матеріалів спеціальних (службових) розслідувань за фактами отримання поранень), а також документи, що були підставою для прийняття керівниками підприємств, установ, організацій рішення про направлення осіб у таке відрядження.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Рішення про надання статусу учасника бойових дій приймається міжвідомчою комісією </w:t>
      </w:r>
      <w:r>
        <w:rPr>
          <w:rFonts w:ascii="Verdana" w:hAnsi="Verdana"/>
          <w:bCs/>
          <w:color w:val="000000"/>
          <w:sz w:val="16"/>
          <w:szCs w:val="16"/>
        </w:rPr>
        <w:t xml:space="preserve">з питань розгляду матеріалів про визнання учасниками бойових дій (далі </w:t>
      </w:r>
      <w:r>
        <w:rPr>
          <w:rFonts w:ascii="Verdana" w:hAnsi="Verdana"/>
          <w:sz w:val="16"/>
          <w:szCs w:val="16"/>
        </w:rPr>
        <w:t xml:space="preserve">— </w:t>
      </w:r>
      <w:r>
        <w:rPr>
          <w:rFonts w:ascii="Verdana" w:hAnsi="Verdana"/>
          <w:bCs/>
          <w:color w:val="000000"/>
          <w:sz w:val="16"/>
          <w:szCs w:val="16"/>
        </w:rPr>
        <w:t>міжвідомча комісія), яка утворюється</w:t>
      </w:r>
      <w:r>
        <w:rPr>
          <w:rFonts w:ascii="Verdana" w:hAnsi="Verdana"/>
          <w:sz w:val="16"/>
          <w:szCs w:val="16"/>
        </w:rPr>
        <w:t xml:space="preserve"> Державною службою у справах ветеранів війни та учасників антитерористичної операції із включенням до її складу фахівців Міноборони, МВС, Національної гвардії, СБУ, Служби зовнішньої розвідки, Адміністрації </w:t>
      </w:r>
      <w:proofErr w:type="spellStart"/>
      <w:r>
        <w:rPr>
          <w:rFonts w:ascii="Verdana" w:hAnsi="Verdana"/>
          <w:sz w:val="16"/>
          <w:szCs w:val="16"/>
        </w:rPr>
        <w:t>Держприкордонслужби</w:t>
      </w:r>
      <w:proofErr w:type="spellEnd"/>
      <w:r>
        <w:rPr>
          <w:rFonts w:ascii="Verdana" w:hAnsi="Verdana"/>
          <w:sz w:val="16"/>
          <w:szCs w:val="16"/>
        </w:rPr>
        <w:t xml:space="preserve">, Адміністрації </w:t>
      </w:r>
      <w:proofErr w:type="spellStart"/>
      <w:r>
        <w:rPr>
          <w:rFonts w:ascii="Verdana" w:hAnsi="Verdana"/>
          <w:sz w:val="16"/>
          <w:szCs w:val="16"/>
        </w:rPr>
        <w:t>Держспецтрансслужби</w:t>
      </w:r>
      <w:proofErr w:type="spellEnd"/>
      <w:r>
        <w:rPr>
          <w:rFonts w:ascii="Verdana" w:hAnsi="Verdana"/>
          <w:sz w:val="16"/>
          <w:szCs w:val="16"/>
        </w:rPr>
        <w:t xml:space="preserve">, Управління державної охорони, Адміністрації </w:t>
      </w:r>
      <w:proofErr w:type="spellStart"/>
      <w:r>
        <w:rPr>
          <w:rFonts w:ascii="Verdana" w:hAnsi="Verdana"/>
          <w:sz w:val="16"/>
          <w:szCs w:val="16"/>
        </w:rPr>
        <w:t>Держспецзв’язку</w:t>
      </w:r>
      <w:proofErr w:type="spellEnd"/>
      <w:r>
        <w:rPr>
          <w:rFonts w:ascii="Verdana" w:hAnsi="Verdana"/>
          <w:sz w:val="16"/>
          <w:szCs w:val="16"/>
        </w:rPr>
        <w:t xml:space="preserve">, ДСНС, </w:t>
      </w:r>
      <w:proofErr w:type="spellStart"/>
      <w:r>
        <w:rPr>
          <w:rFonts w:ascii="Verdana" w:hAnsi="Verdana"/>
          <w:sz w:val="16"/>
          <w:szCs w:val="16"/>
        </w:rPr>
        <w:t>ДПтС</w:t>
      </w:r>
      <w:proofErr w:type="spellEnd"/>
      <w:r>
        <w:rPr>
          <w:rFonts w:ascii="Verdana" w:hAnsi="Verdana"/>
          <w:sz w:val="16"/>
          <w:szCs w:val="16"/>
        </w:rPr>
        <w:t>, військових формувань. До складу міжвідомчої комісії можуть включатися фахівці інших державних органів та представники громадських організацій.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Для надання статусу учасника бойових дій особам, зазначеним в абзаці другому пункту 2 цього Порядку, командири (начальники) військових частин (органів, підрозділів) або інші керівники установ, закладів у місячний строк після завершення особами виконання завдань антитерористичної операції в районах її проведення зобов’язані подати на розгляд комісій, утворених у міністерствах, інших центральних органах виконавчої влади чи інших державних органах (далі — комісія), у підпорядкуванні яких перебували військові частини (органи, підрозділи), установи та заклади, в складі яких проходили службу чи працювали особи, довідки за формою згідно з додатком 1 та документи, які є підставою для надання особам статусу учасника бойових дій.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Комісії вивчають документи і подають їх на розгляд міжвідомчої комісії, а в разі відсутності підстав, які підтверджуються документами, повертають їх до військових частин (органів, підрозділів), установ, закладів з метою подальшого доопрацювання.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Рішення щодо утворення комісій та положення про них затверджуються відповідними міністерствами, іншими центральними органами виконавчої влади та іншими державними органами.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Міжвідомча комісія розглядає документи, надіслані комісією, і в разі потреби заслуховує пояснення осіб, стосовно яких вони подані, свідків, представників державних органів та в місячний строк з дня надходження документів приймає рішення щодо надання статусу учасника бойових дій, про що інформує комісію.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Для надання статусу учасника бойових дій особам, зазначеним в абзаці третьому пункту 2 цього Порядку, керівники підприємств, установ, організацій в місячний строк після завершення особами виконання завдань антитерористичної операції в районах її проведення зобов’язані подати на розгляд міжвідомчої комісії</w:t>
      </w:r>
      <w:r>
        <w:rPr>
          <w:rFonts w:ascii="Verdana" w:hAnsi="Verdana"/>
          <w:bCs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довідки за формою згідно з додатком 2 та документи, які є підставою для надання особам статусу учасника бойових дій.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Міжвідомча комісія розглядає документи і в разі потреби заслуховує пояснення осіб, стосовно яких вони подані, свідків, представників державних органів та приймає в місячний строк з дня надходження документів рішення щодо надання статусу учасника бойових дій, про що інформує керівників підприємств, установ, організацій та органи соціального захисту населення за місцем реєстрації особи.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У разі неподання командиром (начальником) військової частини (органу, підрозділу) або іншим керівником установи, закладу до комісії чи керівником підприємства, установи, організації до міжвідомчої комісії документів</w:t>
      </w:r>
      <w:r>
        <w:rPr>
          <w:rFonts w:ascii="Verdana" w:hAnsi="Verdana"/>
          <w:sz w:val="16"/>
          <w:szCs w:val="16"/>
          <w:lang w:val="ru-RU"/>
        </w:rPr>
        <w:t>,</w:t>
      </w:r>
      <w:r>
        <w:rPr>
          <w:rFonts w:ascii="Verdana" w:hAnsi="Verdana"/>
          <w:sz w:val="16"/>
          <w:szCs w:val="16"/>
        </w:rPr>
        <w:t xml:space="preserve"> необхідних для надання статусу учасника бойових дій</w:t>
      </w:r>
      <w:r>
        <w:rPr>
          <w:rFonts w:ascii="Verdana" w:hAnsi="Verdana"/>
          <w:sz w:val="16"/>
          <w:szCs w:val="16"/>
          <w:lang w:val="ru-RU"/>
        </w:rPr>
        <w:t>,</w:t>
      </w:r>
      <w:r>
        <w:rPr>
          <w:rFonts w:ascii="Verdana" w:hAnsi="Verdana"/>
          <w:sz w:val="16"/>
          <w:szCs w:val="16"/>
        </w:rPr>
        <w:t xml:space="preserve"> особа може самостійно звернутися до таких комісій.</w:t>
      </w:r>
    </w:p>
    <w:p w:rsidR="000B62A8" w:rsidRDefault="000B62A8" w:rsidP="000B62A8">
      <w:pPr>
        <w:pStyle w:val="a3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У разі відмови в наданні статусу учасника бойових дій питання про надання особі зазначеного статусу може повторно виноситися на розгляд міжвідомчої комісії за рішенням Міністра соціальної політики</w:t>
      </w:r>
      <w:r>
        <w:rPr>
          <w:rFonts w:ascii="Verdana" w:hAnsi="Verdana"/>
          <w:sz w:val="16"/>
          <w:szCs w:val="16"/>
        </w:rPr>
        <w:t>.</w:t>
      </w:r>
    </w:p>
    <w:p w:rsidR="000B62A8" w:rsidRDefault="000B62A8" w:rsidP="000B62A8">
      <w:pPr>
        <w:pStyle w:val="a3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Рішення комісії може бути оскаржено в судовому порядку.</w:t>
      </w:r>
    </w:p>
    <w:p w:rsidR="000B62A8" w:rsidRDefault="000B62A8" w:rsidP="000B62A8">
      <w:pPr>
        <w:pStyle w:val="a3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t xml:space="preserve">9.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Посвідчення учасника бойових дій і нагрудний знак особам, яким надано статус учасника бойових дій, видаються органами Міноборони, МВС, СБУ, Служби зовнішньої розвідки, Адміністрації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Держприкордонслужби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Адміністрації </w:t>
      </w:r>
      <w:proofErr w:type="spellStart"/>
      <w:r>
        <w:rPr>
          <w:rFonts w:ascii="Verdana" w:hAnsi="Verdana"/>
          <w:sz w:val="16"/>
          <w:szCs w:val="16"/>
        </w:rPr>
        <w:t>Держспецтрансслужби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Управління державної охорони, Адміністрації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Держспецзв’язку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r>
        <w:rPr>
          <w:rFonts w:ascii="Verdana" w:hAnsi="Verdana"/>
          <w:sz w:val="16"/>
          <w:szCs w:val="16"/>
        </w:rPr>
        <w:t xml:space="preserve">ДСНС, </w:t>
      </w:r>
      <w:proofErr w:type="spellStart"/>
      <w:r>
        <w:rPr>
          <w:rFonts w:ascii="Verdana" w:hAnsi="Verdana"/>
          <w:sz w:val="16"/>
          <w:szCs w:val="16"/>
        </w:rPr>
        <w:t>ДПтС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 також органами соціального захисту населення за місцем їх реєстрації.</w:t>
      </w:r>
    </w:p>
    <w:p w:rsidR="000B62A8" w:rsidRDefault="000B62A8">
      <w:pPr>
        <w:spacing w:after="200" w:line="276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br w:type="page"/>
      </w:r>
    </w:p>
    <w:p w:rsidR="000B62A8" w:rsidRPr="000B62A8" w:rsidRDefault="000B62A8" w:rsidP="000B62A8">
      <w:pPr>
        <w:pStyle w:val="a3"/>
        <w:rPr>
          <w:rFonts w:ascii="Times New Roman" w:hAnsi="Times New Roman"/>
          <w:sz w:val="20"/>
        </w:rPr>
      </w:pPr>
    </w:p>
    <w:p w:rsidR="000B62A8" w:rsidRDefault="000B62A8" w:rsidP="000B62A8">
      <w:pPr>
        <w:pStyle w:val="ShapkaDocumentu"/>
        <w:ind w:left="652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Додаток 1</w:t>
      </w:r>
      <w:r>
        <w:rPr>
          <w:rFonts w:ascii="Verdana" w:hAnsi="Verdana"/>
          <w:sz w:val="16"/>
          <w:szCs w:val="16"/>
        </w:rPr>
        <w:br/>
        <w:t>до Порядку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Кутовий штамп </w:t>
      </w:r>
    </w:p>
    <w:p w:rsidR="000B62A8" w:rsidRDefault="000B62A8" w:rsidP="000B62A8">
      <w:pPr>
        <w:pStyle w:val="a3"/>
        <w:spacing w:before="0"/>
        <w:ind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військової частини</w:t>
      </w:r>
    </w:p>
    <w:p w:rsidR="000B62A8" w:rsidRDefault="000B62A8" w:rsidP="000B62A8">
      <w:pPr>
        <w:pStyle w:val="a3"/>
        <w:spacing w:before="0"/>
        <w:ind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(органу, підрозділу),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установи, закладу </w:t>
      </w:r>
    </w:p>
    <w:p w:rsidR="000B62A8" w:rsidRDefault="000B62A8" w:rsidP="000B62A8">
      <w:pPr>
        <w:pStyle w:val="a8"/>
        <w:rPr>
          <w:rFonts w:ascii="Verdana" w:hAnsi="Verdana"/>
          <w:b w:val="0"/>
          <w:sz w:val="16"/>
          <w:szCs w:val="16"/>
          <w:bdr w:val="none" w:sz="0" w:space="0" w:color="auto" w:frame="1"/>
        </w:rPr>
      </w:pPr>
      <w:r>
        <w:rPr>
          <w:rFonts w:ascii="Verdana" w:hAnsi="Verdana"/>
          <w:b w:val="0"/>
          <w:sz w:val="16"/>
          <w:szCs w:val="16"/>
          <w:bdr w:val="none" w:sz="0" w:space="0" w:color="auto" w:frame="1"/>
        </w:rPr>
        <w:t>ДОВІДКА</w:t>
      </w:r>
      <w:r>
        <w:rPr>
          <w:rFonts w:ascii="Verdana" w:hAnsi="Verdana"/>
          <w:b w:val="0"/>
          <w:sz w:val="16"/>
          <w:szCs w:val="16"/>
          <w:bdr w:val="none" w:sz="0" w:space="0" w:color="auto" w:frame="1"/>
        </w:rPr>
        <w:br/>
        <w:t xml:space="preserve">про безпосередню участь особи в антитерористичній операції, </w:t>
      </w:r>
      <w:r>
        <w:rPr>
          <w:rFonts w:ascii="Verdana" w:hAnsi="Verdana"/>
          <w:b w:val="0"/>
          <w:sz w:val="16"/>
          <w:szCs w:val="16"/>
          <w:bdr w:val="none" w:sz="0" w:space="0" w:color="auto" w:frame="1"/>
        </w:rPr>
        <w:br/>
        <w:t xml:space="preserve">забезпеченні її проведення і захисті незалежності, суверенітету </w:t>
      </w:r>
      <w:r>
        <w:rPr>
          <w:rFonts w:ascii="Verdana" w:hAnsi="Verdana"/>
          <w:b w:val="0"/>
          <w:sz w:val="16"/>
          <w:szCs w:val="16"/>
          <w:bdr w:val="none" w:sz="0" w:space="0" w:color="auto" w:frame="1"/>
        </w:rPr>
        <w:br/>
        <w:t xml:space="preserve">та територіальної цілісності України </w:t>
      </w:r>
    </w:p>
    <w:p w:rsidR="000B62A8" w:rsidRDefault="000B62A8" w:rsidP="000B62A8">
      <w:pPr>
        <w:pStyle w:val="HTML"/>
        <w:shd w:val="clear" w:color="auto" w:fill="FFFFFF"/>
        <w:jc w:val="both"/>
        <w:textAlignment w:val="baseline"/>
        <w:rPr>
          <w:rFonts w:ascii="Verdana" w:hAnsi="Verdana" w:cs="Times New Roman"/>
          <w:color w:val="000000"/>
          <w:sz w:val="16"/>
          <w:szCs w:val="16"/>
          <w:lang w:val="uk-UA"/>
        </w:rPr>
      </w:pP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Видана ____________________________________________________________________</w:t>
      </w:r>
    </w:p>
    <w:p w:rsidR="000B62A8" w:rsidRDefault="000B62A8" w:rsidP="000B62A8">
      <w:pPr>
        <w:pStyle w:val="a3"/>
        <w:spacing w:before="0"/>
        <w:ind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(військове (спеціальне) звання,</w:t>
      </w: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</w:t>
      </w:r>
    </w:p>
    <w:p w:rsidR="000B62A8" w:rsidRDefault="000B62A8" w:rsidP="000B62A8">
      <w:pPr>
        <w:pStyle w:val="a3"/>
        <w:spacing w:befor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прізвище, ім’я, по батькові)</w:t>
      </w: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bookmarkStart w:id="3" w:name="o31"/>
      <w:bookmarkEnd w:id="3"/>
      <w:r>
        <w:rPr>
          <w:rFonts w:ascii="Verdana" w:hAnsi="Verdana"/>
          <w:sz w:val="16"/>
          <w:szCs w:val="16"/>
        </w:rPr>
        <w:t>про те, що він (вона) дійсно в період з __________ по</w:t>
      </w:r>
      <w:bookmarkStart w:id="4" w:name="o32"/>
      <w:bookmarkEnd w:id="4"/>
      <w:r>
        <w:rPr>
          <w:rFonts w:ascii="Verdana" w:hAnsi="Verdana"/>
          <w:sz w:val="16"/>
          <w:szCs w:val="16"/>
        </w:rPr>
        <w:t xml:space="preserve"> __________ безпосередньо брав (брала) участь в антитерористичній операції, забезпеченні її проведення </w:t>
      </w:r>
      <w:r>
        <w:rPr>
          <w:rFonts w:ascii="Verdana" w:hAnsi="Verdana"/>
          <w:bCs/>
          <w:sz w:val="16"/>
          <w:szCs w:val="16"/>
          <w:bdr w:val="none" w:sz="0" w:space="0" w:color="auto" w:frame="1"/>
        </w:rPr>
        <w:t xml:space="preserve">і захисті незалежності, суверенітету та територіальної цілісності України </w:t>
      </w:r>
      <w:r>
        <w:rPr>
          <w:rFonts w:ascii="Verdana" w:hAnsi="Verdana"/>
          <w:sz w:val="16"/>
          <w:szCs w:val="16"/>
        </w:rPr>
        <w:t>в районі/районах проведення антитерористичної операції ________________________________________________________________________________</w:t>
      </w: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Підстава: __________________________________________________________________.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bookmarkStart w:id="5" w:name="o34"/>
      <w:bookmarkStart w:id="6" w:name="o33"/>
      <w:bookmarkEnd w:id="5"/>
      <w:bookmarkEnd w:id="6"/>
      <w:r>
        <w:rPr>
          <w:rFonts w:ascii="Verdana" w:hAnsi="Verdana"/>
          <w:sz w:val="16"/>
          <w:szCs w:val="16"/>
        </w:rPr>
        <w:t>Ця довідка є підставою для надання особі статусу учасника бойових дій.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_____________________________        _____________           ___________________ 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(найменування посади, військове                (підпис)                  (ініціали та прізвище)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(спеціальне) звання командира 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(начальника) військової частини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(органу, підрозділу) чи іншого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керівника установи, закладу)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bookmarkStart w:id="7" w:name="o36"/>
      <w:bookmarkStart w:id="8" w:name="o35"/>
      <w:bookmarkEnd w:id="7"/>
      <w:bookmarkEnd w:id="8"/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bookmarkStart w:id="9" w:name="o37"/>
      <w:bookmarkEnd w:id="9"/>
      <w:r>
        <w:rPr>
          <w:rFonts w:ascii="Verdana" w:hAnsi="Verdana"/>
          <w:sz w:val="16"/>
          <w:szCs w:val="16"/>
        </w:rPr>
        <w:t>МП</w:t>
      </w:r>
    </w:p>
    <w:p w:rsidR="000B62A8" w:rsidRDefault="000B62A8" w:rsidP="000B62A8">
      <w:pPr>
        <w:pStyle w:val="3"/>
        <w:spacing w:before="480"/>
        <w:ind w:left="0"/>
        <w:jc w:val="center"/>
        <w:rPr>
          <w:rFonts w:ascii="Verdana" w:hAnsi="Verdana"/>
          <w:b w:val="0"/>
          <w:i w:val="0"/>
          <w:sz w:val="16"/>
          <w:szCs w:val="16"/>
          <w:lang w:val="ru-RU"/>
        </w:rPr>
      </w:pPr>
      <w:r>
        <w:rPr>
          <w:rFonts w:ascii="Verdana" w:hAnsi="Verdana"/>
          <w:b w:val="0"/>
          <w:i w:val="0"/>
          <w:sz w:val="16"/>
          <w:szCs w:val="16"/>
        </w:rPr>
        <w:t>____________________</w:t>
      </w:r>
    </w:p>
    <w:p w:rsidR="000B62A8" w:rsidRDefault="000B62A8">
      <w:pPr>
        <w:spacing w:after="200" w:line="276" w:lineRule="auto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b/>
          <w:i/>
          <w:sz w:val="16"/>
          <w:szCs w:val="16"/>
          <w:lang w:val="ru-RU"/>
        </w:rPr>
        <w:br w:type="page"/>
      </w:r>
    </w:p>
    <w:p w:rsidR="000B62A8" w:rsidRPr="000B62A8" w:rsidRDefault="000B62A8" w:rsidP="000B62A8">
      <w:pPr>
        <w:pStyle w:val="3"/>
        <w:spacing w:before="480"/>
        <w:ind w:left="0"/>
        <w:jc w:val="center"/>
        <w:rPr>
          <w:rFonts w:ascii="Verdana" w:hAnsi="Verdana"/>
          <w:b w:val="0"/>
          <w:i w:val="0"/>
          <w:sz w:val="16"/>
          <w:szCs w:val="16"/>
          <w:lang w:val="ru-RU"/>
        </w:rPr>
      </w:pPr>
    </w:p>
    <w:p w:rsidR="000B62A8" w:rsidRDefault="000B62A8" w:rsidP="000B62A8">
      <w:pPr>
        <w:pStyle w:val="ShapkaDocumentu"/>
        <w:ind w:left="680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Додаток 2</w:t>
      </w:r>
      <w:r>
        <w:rPr>
          <w:rFonts w:ascii="Verdana" w:hAnsi="Verdana"/>
          <w:sz w:val="16"/>
          <w:szCs w:val="16"/>
        </w:rPr>
        <w:br/>
        <w:t>до Порядку</w:t>
      </w: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Кутовий штамп 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підприємства, установи,</w:t>
      </w:r>
    </w:p>
    <w:p w:rsidR="000B62A8" w:rsidRDefault="000B62A8" w:rsidP="000B62A8">
      <w:pPr>
        <w:pStyle w:val="a3"/>
        <w:spacing w:before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організації </w:t>
      </w:r>
    </w:p>
    <w:p w:rsidR="000B62A8" w:rsidRDefault="000B62A8" w:rsidP="000B62A8">
      <w:pPr>
        <w:jc w:val="both"/>
        <w:rPr>
          <w:rFonts w:ascii="Verdana" w:hAnsi="Verdana"/>
          <w:b/>
          <w:sz w:val="16"/>
          <w:szCs w:val="16"/>
        </w:rPr>
      </w:pPr>
    </w:p>
    <w:p w:rsidR="000B62A8" w:rsidRDefault="000B62A8" w:rsidP="000B62A8">
      <w:pPr>
        <w:pStyle w:val="a8"/>
        <w:rPr>
          <w:rFonts w:ascii="Verdana" w:hAnsi="Verdana"/>
          <w:b w:val="0"/>
          <w:sz w:val="16"/>
          <w:szCs w:val="16"/>
          <w:bdr w:val="none" w:sz="0" w:space="0" w:color="auto" w:frame="1"/>
        </w:rPr>
      </w:pPr>
      <w:r>
        <w:rPr>
          <w:rFonts w:ascii="Verdana" w:hAnsi="Verdana"/>
          <w:b w:val="0"/>
          <w:sz w:val="16"/>
          <w:szCs w:val="16"/>
          <w:bdr w:val="none" w:sz="0" w:space="0" w:color="auto" w:frame="1"/>
        </w:rPr>
        <w:t>ДОВІДКА</w:t>
      </w:r>
      <w:r>
        <w:rPr>
          <w:rFonts w:ascii="Verdana" w:hAnsi="Verdana"/>
          <w:b w:val="0"/>
          <w:sz w:val="16"/>
          <w:szCs w:val="16"/>
          <w:bdr w:val="none" w:sz="0" w:space="0" w:color="auto" w:frame="1"/>
        </w:rPr>
        <w:br/>
        <w:t xml:space="preserve">про безпосередню участь особи в антитерористичній операції </w:t>
      </w:r>
    </w:p>
    <w:p w:rsidR="000B62A8" w:rsidRDefault="000B62A8" w:rsidP="000B62A8">
      <w:pPr>
        <w:pStyle w:val="HTML"/>
        <w:shd w:val="clear" w:color="auto" w:fill="FFFFFF"/>
        <w:jc w:val="both"/>
        <w:textAlignment w:val="baseline"/>
        <w:rPr>
          <w:rFonts w:ascii="Verdana" w:hAnsi="Verdana" w:cs="Times New Roman"/>
          <w:color w:val="000000"/>
          <w:sz w:val="16"/>
          <w:szCs w:val="16"/>
        </w:rPr>
      </w:pP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Видана ____________________________________________________________________</w:t>
      </w:r>
    </w:p>
    <w:p w:rsidR="000B62A8" w:rsidRDefault="000B62A8" w:rsidP="000B62A8">
      <w:pPr>
        <w:pStyle w:val="a3"/>
        <w:spacing w:befor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(прізвище, ім’я, по батькові)</w:t>
      </w: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 те, що він (вона) дійсно в період з __________ по __________ безпосередньо брав (брала) участь в антитерористичній операції в районі/районах проведення антитерористичної операції _________________________________________________________________________________</w:t>
      </w: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Підстава: ___________________________________________________________________.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Ця довідка є підставою для надання особі статусу учасника бойових дій.</w:t>
      </w:r>
    </w:p>
    <w:p w:rsidR="000B62A8" w:rsidRDefault="000B62A8" w:rsidP="000B62A8">
      <w:pPr>
        <w:pStyle w:val="a3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               __________                   __________________</w:t>
      </w:r>
    </w:p>
    <w:p w:rsidR="000B62A8" w:rsidRDefault="000B62A8" w:rsidP="000B62A8">
      <w:pPr>
        <w:pStyle w:val="a3"/>
        <w:spacing w:before="0"/>
        <w:ind w:right="-143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(найменування посади керівника                     (підпис)                      (ініціали та прізвище)</w:t>
      </w:r>
    </w:p>
    <w:p w:rsidR="000B62A8" w:rsidRDefault="000B62A8" w:rsidP="000B62A8">
      <w:pPr>
        <w:pStyle w:val="a3"/>
        <w:spacing w:before="0"/>
        <w:ind w:right="-143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підприємства, установи, організації)</w:t>
      </w: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</w:p>
    <w:p w:rsidR="000B62A8" w:rsidRDefault="000B62A8" w:rsidP="000B62A8">
      <w:pPr>
        <w:pStyle w:val="a3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МП</w:t>
      </w:r>
    </w:p>
    <w:p w:rsidR="00332A4C" w:rsidRPr="000B62A8" w:rsidRDefault="000B62A8" w:rsidP="000B62A8">
      <w:pPr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>_________________</w:t>
      </w:r>
    </w:p>
    <w:sectPr w:rsidR="00332A4C" w:rsidRPr="000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8"/>
    <w:rsid w:val="000B62A8"/>
    <w:rsid w:val="003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0B62A8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2A8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0B6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0B62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ий текст"/>
    <w:basedOn w:val="a"/>
    <w:rsid w:val="000B62A8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rsid w:val="000B62A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Установа"/>
    <w:basedOn w:val="a"/>
    <w:rsid w:val="000B62A8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rsid w:val="000B62A8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0B62A8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rsid w:val="000B62A8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9">
    <w:name w:val="Шапка документу"/>
    <w:basedOn w:val="a"/>
    <w:rsid w:val="000B62A8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rsid w:val="000B62A8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0B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2A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0B62A8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2A8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0B6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0B62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ий текст"/>
    <w:basedOn w:val="a"/>
    <w:rsid w:val="000B62A8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rsid w:val="000B62A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Установа"/>
    <w:basedOn w:val="a"/>
    <w:rsid w:val="000B62A8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rsid w:val="000B62A8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0B62A8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rsid w:val="000B62A8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9">
    <w:name w:val="Шапка документу"/>
    <w:basedOn w:val="a"/>
    <w:rsid w:val="000B62A8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rsid w:val="000B62A8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0B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2A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2014-09-11T12:59:00Z</dcterms:created>
  <dcterms:modified xsi:type="dcterms:W3CDTF">2014-09-11T13:03:00Z</dcterms:modified>
</cp:coreProperties>
</file>